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44" w:rsidRPr="007575A5" w:rsidRDefault="00E11B44" w:rsidP="00E11B44">
      <w:pPr>
        <w:rPr>
          <w:b/>
          <w:sz w:val="20"/>
          <w:szCs w:val="20"/>
        </w:rPr>
      </w:pPr>
      <w:bookmarkStart w:id="0" w:name="_GoBack"/>
      <w:bookmarkEnd w:id="0"/>
      <w:r w:rsidRPr="007575A5">
        <w:rPr>
          <w:b/>
          <w:sz w:val="20"/>
          <w:szCs w:val="20"/>
        </w:rPr>
        <w:t xml:space="preserve">COURSE OBJECTIVES </w:t>
      </w:r>
      <w:r w:rsidR="00124F1F">
        <w:rPr>
          <w:b/>
          <w:sz w:val="20"/>
          <w:szCs w:val="20"/>
        </w:rPr>
        <w:t>and Outline</w:t>
      </w:r>
    </w:p>
    <w:p w:rsidR="00E11B44" w:rsidRPr="007575A5" w:rsidRDefault="00E11B44" w:rsidP="00E11B44">
      <w:pPr>
        <w:rPr>
          <w:sz w:val="20"/>
          <w:szCs w:val="20"/>
        </w:rPr>
      </w:pPr>
      <w:r w:rsidRPr="007575A5">
        <w:rPr>
          <w:sz w:val="20"/>
          <w:szCs w:val="20"/>
        </w:rPr>
        <w:t>The objectives of this course is to help you understand multicultural issues and best practices to identify, define, and solving problems in special education settings and learning contexts. Also you will gain an understanding of the histories, methodologies, and ethics applicable to multiculturalism in special education. Importantly, from your learning you will be able to apply principles and practices in relation to multiculturalism to support your learners. Furthermore, you will gain some of the tools that will enable you to engage effectively in multicultural environments. Through discussions and written work</w:t>
      </w:r>
      <w:r w:rsidR="005D57F9" w:rsidRPr="007575A5">
        <w:rPr>
          <w:sz w:val="20"/>
          <w:szCs w:val="20"/>
        </w:rPr>
        <w:t>,</w:t>
      </w:r>
      <w:r w:rsidRPr="007575A5">
        <w:rPr>
          <w:sz w:val="20"/>
          <w:szCs w:val="20"/>
        </w:rPr>
        <w:t xml:space="preserve"> you will be able to reflect critically to further develop your own knowledge and competencies in relation to multiculturalism in special education.</w:t>
      </w:r>
    </w:p>
    <w:p w:rsidR="00E11B44" w:rsidRPr="007575A5" w:rsidRDefault="00E11B44" w:rsidP="00E11B44">
      <w:pPr>
        <w:rPr>
          <w:sz w:val="20"/>
          <w:szCs w:val="20"/>
        </w:rPr>
      </w:pPr>
    </w:p>
    <w:p w:rsidR="00E11B44" w:rsidRPr="007575A5" w:rsidRDefault="00E11B44" w:rsidP="00E11B44">
      <w:pPr>
        <w:rPr>
          <w:sz w:val="20"/>
          <w:szCs w:val="20"/>
        </w:rPr>
      </w:pPr>
      <w:r w:rsidRPr="007575A5">
        <w:rPr>
          <w:sz w:val="20"/>
          <w:szCs w:val="20"/>
        </w:rPr>
        <w:t>Required Text</w:t>
      </w:r>
    </w:p>
    <w:p w:rsidR="00E11B44" w:rsidRPr="007575A5" w:rsidRDefault="00E11B44" w:rsidP="00E11B44">
      <w:pPr>
        <w:pStyle w:val="ListParagraph"/>
        <w:numPr>
          <w:ilvl w:val="0"/>
          <w:numId w:val="1"/>
        </w:numPr>
        <w:rPr>
          <w:sz w:val="20"/>
          <w:szCs w:val="20"/>
        </w:rPr>
      </w:pPr>
      <w:r w:rsidRPr="007575A5">
        <w:rPr>
          <w:sz w:val="20"/>
          <w:szCs w:val="20"/>
        </w:rPr>
        <w:t>James A Banks, 2013, An Introduction to Multicultural Education, 5</w:t>
      </w:r>
      <w:r w:rsidRPr="007575A5">
        <w:rPr>
          <w:sz w:val="20"/>
          <w:szCs w:val="20"/>
          <w:vertAlign w:val="superscript"/>
        </w:rPr>
        <w:t>th</w:t>
      </w:r>
      <w:r w:rsidRPr="007575A5">
        <w:rPr>
          <w:sz w:val="20"/>
          <w:szCs w:val="20"/>
        </w:rPr>
        <w:t xml:space="preserve"> Edition, Pearson Publications </w:t>
      </w:r>
    </w:p>
    <w:p w:rsidR="00E11B44" w:rsidRPr="007575A5" w:rsidRDefault="00E11B44" w:rsidP="00E11B44">
      <w:pPr>
        <w:pStyle w:val="ListParagraph"/>
        <w:numPr>
          <w:ilvl w:val="0"/>
          <w:numId w:val="1"/>
        </w:numPr>
        <w:rPr>
          <w:sz w:val="20"/>
          <w:szCs w:val="20"/>
        </w:rPr>
      </w:pPr>
      <w:r w:rsidRPr="007575A5">
        <w:rPr>
          <w:sz w:val="20"/>
          <w:szCs w:val="20"/>
        </w:rPr>
        <w:t>Carrie Rothstein-</w:t>
      </w:r>
      <w:proofErr w:type="spellStart"/>
      <w:r w:rsidRPr="007575A5">
        <w:rPr>
          <w:sz w:val="20"/>
          <w:szCs w:val="20"/>
        </w:rPr>
        <w:t>Fisch</w:t>
      </w:r>
      <w:proofErr w:type="spellEnd"/>
      <w:r w:rsidRPr="007575A5">
        <w:rPr>
          <w:sz w:val="20"/>
          <w:szCs w:val="20"/>
        </w:rPr>
        <w:t xml:space="preserve"> and Elise Trumbull, 2008, Managing Diverse Classrooms, How to build on students cultural strengths,</w:t>
      </w:r>
    </w:p>
    <w:p w:rsidR="00E11B44" w:rsidRPr="007575A5" w:rsidRDefault="00E11B44" w:rsidP="00E11B44">
      <w:pPr>
        <w:rPr>
          <w:sz w:val="20"/>
          <w:szCs w:val="20"/>
        </w:rPr>
      </w:pPr>
      <w:r w:rsidRPr="007575A5">
        <w:rPr>
          <w:sz w:val="20"/>
          <w:szCs w:val="20"/>
        </w:rPr>
        <w:t>Additional Text</w:t>
      </w:r>
    </w:p>
    <w:p w:rsidR="00E11B44" w:rsidRPr="007575A5" w:rsidRDefault="00E11B44" w:rsidP="00E11B44">
      <w:pPr>
        <w:pStyle w:val="ListParagraph"/>
        <w:numPr>
          <w:ilvl w:val="0"/>
          <w:numId w:val="2"/>
        </w:numPr>
        <w:rPr>
          <w:sz w:val="20"/>
          <w:szCs w:val="20"/>
        </w:rPr>
      </w:pPr>
      <w:proofErr w:type="spellStart"/>
      <w:r w:rsidRPr="007575A5">
        <w:rPr>
          <w:sz w:val="20"/>
          <w:szCs w:val="20"/>
        </w:rPr>
        <w:t>Freire</w:t>
      </w:r>
      <w:proofErr w:type="spellEnd"/>
      <w:r w:rsidRPr="007575A5">
        <w:rPr>
          <w:sz w:val="20"/>
          <w:szCs w:val="20"/>
        </w:rPr>
        <w:t>, P. (1970). Pedagogy of the Oppressed, New York: Continuum.</w:t>
      </w:r>
    </w:p>
    <w:p w:rsidR="00E11B44" w:rsidRPr="007575A5" w:rsidRDefault="00E11B44" w:rsidP="00E11B44">
      <w:pPr>
        <w:pStyle w:val="ListParagraph"/>
        <w:numPr>
          <w:ilvl w:val="0"/>
          <w:numId w:val="2"/>
        </w:numPr>
        <w:pBdr>
          <w:bottom w:val="single" w:sz="12" w:space="1" w:color="auto"/>
        </w:pBdr>
        <w:rPr>
          <w:sz w:val="20"/>
          <w:szCs w:val="20"/>
        </w:rPr>
      </w:pPr>
      <w:r w:rsidRPr="007575A5">
        <w:rPr>
          <w:sz w:val="20"/>
          <w:szCs w:val="20"/>
        </w:rPr>
        <w:t xml:space="preserve">Valerie </w:t>
      </w:r>
      <w:proofErr w:type="spellStart"/>
      <w:r w:rsidRPr="007575A5">
        <w:rPr>
          <w:sz w:val="20"/>
          <w:szCs w:val="20"/>
        </w:rPr>
        <w:t>Ooka</w:t>
      </w:r>
      <w:proofErr w:type="spellEnd"/>
      <w:r w:rsidRPr="007575A5">
        <w:rPr>
          <w:sz w:val="20"/>
          <w:szCs w:val="20"/>
        </w:rPr>
        <w:t xml:space="preserve"> Pang, Multicultural Education, A caring-centered reflective approach, McGraw –Hill Pub</w:t>
      </w:r>
    </w:p>
    <w:p w:rsidR="005C1AB6" w:rsidRPr="007575A5" w:rsidRDefault="005C1AB6" w:rsidP="00E11B44">
      <w:pPr>
        <w:rPr>
          <w:b/>
          <w:sz w:val="20"/>
          <w:szCs w:val="20"/>
        </w:rPr>
      </w:pPr>
    </w:p>
    <w:p w:rsidR="00E11B44" w:rsidRPr="007575A5" w:rsidRDefault="00E11B44" w:rsidP="00E11B44">
      <w:pPr>
        <w:rPr>
          <w:b/>
          <w:sz w:val="20"/>
          <w:szCs w:val="20"/>
        </w:rPr>
      </w:pPr>
      <w:r w:rsidRPr="007575A5">
        <w:rPr>
          <w:b/>
          <w:sz w:val="20"/>
          <w:szCs w:val="20"/>
        </w:rPr>
        <w:t>Course Content</w:t>
      </w:r>
    </w:p>
    <w:p w:rsidR="00E11B44" w:rsidRDefault="00E11B44" w:rsidP="00E11B44">
      <w:pPr>
        <w:rPr>
          <w:sz w:val="20"/>
          <w:szCs w:val="20"/>
        </w:rPr>
      </w:pPr>
      <w:r w:rsidRPr="007575A5">
        <w:rPr>
          <w:sz w:val="20"/>
          <w:szCs w:val="20"/>
        </w:rPr>
        <w:t>Week One: Introduction to course and an overview of multiculturalism.</w:t>
      </w:r>
    </w:p>
    <w:p w:rsidR="004726E6" w:rsidRPr="007575A5" w:rsidRDefault="004726E6" w:rsidP="00E11B44">
      <w:pPr>
        <w:rPr>
          <w:sz w:val="20"/>
          <w:szCs w:val="20"/>
        </w:rPr>
      </w:pPr>
      <w:r>
        <w:rPr>
          <w:sz w:val="20"/>
          <w:szCs w:val="20"/>
        </w:rPr>
        <w:t>Week One: Labels: The vaccine or virus to future generations?</w:t>
      </w:r>
    </w:p>
    <w:p w:rsidR="00E11B44" w:rsidRPr="007575A5" w:rsidRDefault="00E11B44" w:rsidP="00E11B44">
      <w:pPr>
        <w:rPr>
          <w:sz w:val="20"/>
          <w:szCs w:val="20"/>
        </w:rPr>
      </w:pPr>
      <w:r w:rsidRPr="007575A5">
        <w:rPr>
          <w:sz w:val="20"/>
          <w:szCs w:val="20"/>
        </w:rPr>
        <w:t xml:space="preserve">Week Two: Historical imperatives and multiculturalism, US, UK and beyond.  </w:t>
      </w:r>
    </w:p>
    <w:p w:rsidR="00E11B44" w:rsidRPr="007575A5" w:rsidRDefault="00E11B44" w:rsidP="00E11B44">
      <w:pPr>
        <w:rPr>
          <w:sz w:val="20"/>
          <w:szCs w:val="20"/>
        </w:rPr>
      </w:pPr>
      <w:r w:rsidRPr="007575A5">
        <w:rPr>
          <w:sz w:val="20"/>
          <w:szCs w:val="20"/>
        </w:rPr>
        <w:t>Week Three: The Politics of Multiculturalism: social Justice, civil rights, Realisms v Idealism.</w:t>
      </w:r>
    </w:p>
    <w:p w:rsidR="00E11B44" w:rsidRPr="007575A5" w:rsidRDefault="00E11B44" w:rsidP="00E11B44">
      <w:pPr>
        <w:rPr>
          <w:sz w:val="20"/>
          <w:szCs w:val="20"/>
        </w:rPr>
      </w:pPr>
      <w:r w:rsidRPr="007575A5">
        <w:rPr>
          <w:sz w:val="20"/>
          <w:szCs w:val="20"/>
        </w:rPr>
        <w:t xml:space="preserve">Week Four:  Has Multiculturalism failed in the classroom and beyond? Special education and multiculturalism is it commensurable? </w:t>
      </w:r>
    </w:p>
    <w:p w:rsidR="00E11B44" w:rsidRPr="007575A5" w:rsidRDefault="00E11B44" w:rsidP="00E11B44">
      <w:pPr>
        <w:rPr>
          <w:sz w:val="20"/>
          <w:szCs w:val="20"/>
        </w:rPr>
      </w:pPr>
      <w:r w:rsidRPr="007575A5">
        <w:rPr>
          <w:sz w:val="20"/>
          <w:szCs w:val="20"/>
        </w:rPr>
        <w:t>Weeks Five: Multiculturalism for those with English as a second language.</w:t>
      </w:r>
    </w:p>
    <w:p w:rsidR="00E11B44" w:rsidRPr="007575A5" w:rsidRDefault="00E11B44" w:rsidP="00E11B44">
      <w:pPr>
        <w:rPr>
          <w:sz w:val="20"/>
          <w:szCs w:val="20"/>
        </w:rPr>
      </w:pPr>
      <w:r w:rsidRPr="007575A5">
        <w:rPr>
          <w:sz w:val="20"/>
          <w:szCs w:val="20"/>
        </w:rPr>
        <w:t>Week S</w:t>
      </w:r>
      <w:r w:rsidR="005C1AB6" w:rsidRPr="007575A5">
        <w:rPr>
          <w:sz w:val="20"/>
          <w:szCs w:val="20"/>
        </w:rPr>
        <w:t>ix</w:t>
      </w:r>
      <w:r w:rsidRPr="007575A5">
        <w:rPr>
          <w:sz w:val="20"/>
          <w:szCs w:val="20"/>
        </w:rPr>
        <w:t>: Multiculturalism for those with English as a second language continued.</w:t>
      </w:r>
    </w:p>
    <w:p w:rsidR="005C1AB6" w:rsidRPr="007575A5" w:rsidRDefault="005C1AB6" w:rsidP="00E11B44">
      <w:pPr>
        <w:rPr>
          <w:sz w:val="20"/>
          <w:szCs w:val="20"/>
        </w:rPr>
      </w:pPr>
      <w:r w:rsidRPr="007575A5">
        <w:rPr>
          <w:sz w:val="20"/>
          <w:szCs w:val="20"/>
        </w:rPr>
        <w:t>Week Seven: Blue Eyes Brown Eyes and Cultural disparity</w:t>
      </w:r>
    </w:p>
    <w:p w:rsidR="00E11B44" w:rsidRPr="007575A5" w:rsidRDefault="00E11B44" w:rsidP="00E11B44">
      <w:pPr>
        <w:rPr>
          <w:sz w:val="20"/>
          <w:szCs w:val="20"/>
        </w:rPr>
      </w:pPr>
      <w:r w:rsidRPr="007575A5">
        <w:rPr>
          <w:sz w:val="20"/>
          <w:szCs w:val="20"/>
        </w:rPr>
        <w:t>Week Eight: Interdisciplinary Teaching and Learning Communities in Special Education.</w:t>
      </w:r>
    </w:p>
    <w:p w:rsidR="00E11B44" w:rsidRPr="007575A5" w:rsidRDefault="00E11B44" w:rsidP="00E11B44">
      <w:pPr>
        <w:rPr>
          <w:sz w:val="20"/>
          <w:szCs w:val="20"/>
        </w:rPr>
      </w:pPr>
      <w:r w:rsidRPr="007575A5">
        <w:rPr>
          <w:sz w:val="20"/>
          <w:szCs w:val="20"/>
        </w:rPr>
        <w:t>Week Nine: Pedagogy and Multiculturalism.</w:t>
      </w:r>
    </w:p>
    <w:p w:rsidR="00E11B44" w:rsidRPr="007575A5" w:rsidRDefault="00E11B44" w:rsidP="00E11B44">
      <w:pPr>
        <w:rPr>
          <w:sz w:val="20"/>
          <w:szCs w:val="20"/>
        </w:rPr>
      </w:pPr>
      <w:r w:rsidRPr="007575A5">
        <w:rPr>
          <w:sz w:val="20"/>
          <w:szCs w:val="20"/>
        </w:rPr>
        <w:t>Week Ten: Religion, Culture, Ethnicity, Language the complexity of multiculturalism.</w:t>
      </w:r>
    </w:p>
    <w:p w:rsidR="00E11B44" w:rsidRPr="007575A5" w:rsidRDefault="00E11B44" w:rsidP="00E11B44">
      <w:pPr>
        <w:rPr>
          <w:sz w:val="20"/>
          <w:szCs w:val="20"/>
        </w:rPr>
      </w:pPr>
      <w:r w:rsidRPr="007575A5">
        <w:rPr>
          <w:sz w:val="20"/>
          <w:szCs w:val="20"/>
        </w:rPr>
        <w:t>Week Eleven: Where do we go from here? Classroom parameters, ethics and differentiation.</w:t>
      </w:r>
    </w:p>
    <w:p w:rsidR="00E11B44" w:rsidRPr="007575A5" w:rsidRDefault="00E11B44" w:rsidP="00E11B44">
      <w:pPr>
        <w:rPr>
          <w:sz w:val="20"/>
          <w:szCs w:val="20"/>
        </w:rPr>
      </w:pPr>
      <w:r w:rsidRPr="007575A5">
        <w:rPr>
          <w:sz w:val="20"/>
          <w:szCs w:val="20"/>
        </w:rPr>
        <w:lastRenderedPageBreak/>
        <w:t>Week Twelve: Presentations</w:t>
      </w:r>
    </w:p>
    <w:p w:rsidR="005D57F9" w:rsidRPr="007575A5" w:rsidRDefault="005D57F9" w:rsidP="00E11B44">
      <w:pPr>
        <w:rPr>
          <w:sz w:val="20"/>
          <w:szCs w:val="20"/>
        </w:rPr>
      </w:pPr>
      <w:r w:rsidRPr="007575A5">
        <w:rPr>
          <w:sz w:val="20"/>
          <w:szCs w:val="20"/>
        </w:rPr>
        <w:t>Week Thirteen: Presentations</w:t>
      </w:r>
    </w:p>
    <w:p w:rsidR="00E11B44" w:rsidRPr="007575A5" w:rsidRDefault="00E11B44" w:rsidP="00E11B44">
      <w:pPr>
        <w:rPr>
          <w:sz w:val="20"/>
          <w:szCs w:val="20"/>
        </w:rPr>
      </w:pPr>
    </w:p>
    <w:p w:rsidR="00E11B44" w:rsidRPr="007575A5" w:rsidRDefault="00E11B44" w:rsidP="00E11B44">
      <w:pPr>
        <w:rPr>
          <w:sz w:val="20"/>
          <w:szCs w:val="20"/>
        </w:rPr>
      </w:pPr>
      <w:r w:rsidRPr="007575A5">
        <w:rPr>
          <w:sz w:val="20"/>
          <w:szCs w:val="20"/>
        </w:rPr>
        <w:t>April 16-17</w:t>
      </w:r>
      <w:r w:rsidRPr="007575A5">
        <w:rPr>
          <w:sz w:val="20"/>
          <w:szCs w:val="20"/>
          <w:vertAlign w:val="superscript"/>
        </w:rPr>
        <w:t>th</w:t>
      </w:r>
      <w:r w:rsidRPr="007575A5">
        <w:rPr>
          <w:sz w:val="20"/>
          <w:szCs w:val="20"/>
        </w:rPr>
        <w:t xml:space="preserve"> Exam Preparation Days</w:t>
      </w:r>
    </w:p>
    <w:p w:rsidR="00E11B44" w:rsidRPr="007575A5" w:rsidRDefault="00E11B44" w:rsidP="00E11B44">
      <w:pPr>
        <w:pBdr>
          <w:bottom w:val="single" w:sz="6" w:space="1" w:color="auto"/>
        </w:pBdr>
        <w:rPr>
          <w:sz w:val="20"/>
          <w:szCs w:val="20"/>
        </w:rPr>
      </w:pPr>
      <w:r w:rsidRPr="007575A5">
        <w:rPr>
          <w:sz w:val="20"/>
          <w:szCs w:val="20"/>
        </w:rPr>
        <w:t>April 18</w:t>
      </w:r>
      <w:r w:rsidRPr="007575A5">
        <w:rPr>
          <w:sz w:val="20"/>
          <w:szCs w:val="20"/>
          <w:vertAlign w:val="superscript"/>
        </w:rPr>
        <w:t>th</w:t>
      </w:r>
      <w:r w:rsidRPr="007575A5">
        <w:rPr>
          <w:sz w:val="20"/>
          <w:szCs w:val="20"/>
        </w:rPr>
        <w:t>-23</w:t>
      </w:r>
      <w:r w:rsidRPr="007575A5">
        <w:rPr>
          <w:sz w:val="20"/>
          <w:szCs w:val="20"/>
          <w:vertAlign w:val="superscript"/>
        </w:rPr>
        <w:t>rd</w:t>
      </w:r>
      <w:r w:rsidRPr="007575A5">
        <w:rPr>
          <w:sz w:val="20"/>
          <w:szCs w:val="20"/>
        </w:rPr>
        <w:t xml:space="preserve"> Exam days</w:t>
      </w:r>
    </w:p>
    <w:p w:rsidR="007575A5" w:rsidRPr="007575A5" w:rsidRDefault="007575A5" w:rsidP="00E11B44">
      <w:pPr>
        <w:rPr>
          <w:sz w:val="20"/>
          <w:szCs w:val="20"/>
        </w:rPr>
      </w:pPr>
      <w:r w:rsidRPr="007575A5">
        <w:rPr>
          <w:sz w:val="20"/>
          <w:szCs w:val="20"/>
        </w:rPr>
        <w:t xml:space="preserve">1 Midterm exam will consist of a written paper approximately 3 pages long on an assigned topic by the </w:t>
      </w:r>
      <w:r w:rsidR="00124F1F">
        <w:rPr>
          <w:sz w:val="20"/>
          <w:szCs w:val="20"/>
        </w:rPr>
        <w:t>instructor</w:t>
      </w:r>
      <w:r w:rsidRPr="007575A5">
        <w:rPr>
          <w:sz w:val="20"/>
          <w:szCs w:val="20"/>
        </w:rPr>
        <w:t>.   This will consist of 40 % of your overall grade</w:t>
      </w:r>
      <w:r w:rsidR="00C92F8D">
        <w:rPr>
          <w:sz w:val="20"/>
          <w:szCs w:val="20"/>
        </w:rPr>
        <w:t xml:space="preserve"> (date to be confirmed)</w:t>
      </w:r>
    </w:p>
    <w:p w:rsidR="005D57F9" w:rsidRPr="007575A5" w:rsidRDefault="007575A5" w:rsidP="00E11B44">
      <w:pPr>
        <w:rPr>
          <w:sz w:val="20"/>
          <w:szCs w:val="20"/>
        </w:rPr>
      </w:pPr>
      <w:r w:rsidRPr="007575A5">
        <w:rPr>
          <w:sz w:val="20"/>
          <w:szCs w:val="20"/>
        </w:rPr>
        <w:t>2</w:t>
      </w:r>
      <w:r w:rsidR="005D57F9" w:rsidRPr="007575A5">
        <w:rPr>
          <w:sz w:val="20"/>
          <w:szCs w:val="20"/>
        </w:rPr>
        <w:t xml:space="preserve"> At the end of the program you will do a 15-20 minute presentation from a list of subjects provided. This will consist of </w:t>
      </w:r>
      <w:r w:rsidRPr="007575A5">
        <w:rPr>
          <w:sz w:val="20"/>
          <w:szCs w:val="20"/>
        </w:rPr>
        <w:t>4</w:t>
      </w:r>
      <w:r w:rsidR="005D57F9" w:rsidRPr="007575A5">
        <w:rPr>
          <w:sz w:val="20"/>
          <w:szCs w:val="20"/>
        </w:rPr>
        <w:t>0% of your overall grade</w:t>
      </w:r>
      <w:r w:rsidRPr="007575A5">
        <w:rPr>
          <w:sz w:val="20"/>
          <w:szCs w:val="20"/>
        </w:rPr>
        <w:t>.</w:t>
      </w:r>
    </w:p>
    <w:p w:rsidR="005C1AB6" w:rsidRPr="007575A5" w:rsidRDefault="005D57F9" w:rsidP="00E11B44">
      <w:pPr>
        <w:rPr>
          <w:sz w:val="20"/>
          <w:szCs w:val="20"/>
        </w:rPr>
      </w:pPr>
      <w:r w:rsidRPr="007575A5">
        <w:rPr>
          <w:sz w:val="20"/>
          <w:szCs w:val="20"/>
        </w:rPr>
        <w:t>3 Attendance and participation in class discussions will represent</w:t>
      </w:r>
      <w:r w:rsidR="005C1AB6" w:rsidRPr="007575A5">
        <w:rPr>
          <w:sz w:val="20"/>
          <w:szCs w:val="20"/>
        </w:rPr>
        <w:t xml:space="preserve"> 20% of your overall grade.</w:t>
      </w:r>
    </w:p>
    <w:p w:rsidR="005C1AB6" w:rsidRPr="007575A5" w:rsidRDefault="005C1AB6" w:rsidP="00E11B44">
      <w:pPr>
        <w:rPr>
          <w:sz w:val="20"/>
          <w:szCs w:val="20"/>
        </w:rPr>
      </w:pPr>
      <w:r w:rsidRPr="007575A5">
        <w:rPr>
          <w:sz w:val="20"/>
          <w:szCs w:val="20"/>
        </w:rPr>
        <w:t>------------------------------------------------------------------------------------------------------------------------------------------</w:t>
      </w:r>
    </w:p>
    <w:p w:rsidR="005C1AB6" w:rsidRPr="007575A5" w:rsidRDefault="005C1AB6" w:rsidP="00E11B44">
      <w:pPr>
        <w:rPr>
          <w:sz w:val="20"/>
          <w:szCs w:val="20"/>
          <w:u w:val="single"/>
        </w:rPr>
      </w:pPr>
      <w:r w:rsidRPr="007575A5">
        <w:rPr>
          <w:sz w:val="20"/>
          <w:szCs w:val="20"/>
          <w:u w:val="single"/>
        </w:rPr>
        <w:t>Grades</w:t>
      </w:r>
    </w:p>
    <w:p w:rsidR="005C1AB6" w:rsidRPr="007575A5" w:rsidRDefault="005C1AB6" w:rsidP="00E11B44">
      <w:pPr>
        <w:rPr>
          <w:sz w:val="20"/>
          <w:szCs w:val="20"/>
        </w:rPr>
      </w:pPr>
      <w:r w:rsidRPr="007575A5">
        <w:rPr>
          <w:sz w:val="20"/>
          <w:szCs w:val="20"/>
        </w:rPr>
        <w:t>A=90-100%</w:t>
      </w:r>
    </w:p>
    <w:p w:rsidR="005C1AB6" w:rsidRPr="007575A5" w:rsidRDefault="005C1AB6" w:rsidP="00E11B44">
      <w:pPr>
        <w:rPr>
          <w:sz w:val="20"/>
          <w:szCs w:val="20"/>
        </w:rPr>
      </w:pPr>
      <w:r w:rsidRPr="007575A5">
        <w:rPr>
          <w:sz w:val="20"/>
          <w:szCs w:val="20"/>
        </w:rPr>
        <w:t>B=80-90%</w:t>
      </w:r>
    </w:p>
    <w:p w:rsidR="005D57F9" w:rsidRPr="007575A5" w:rsidRDefault="005C1AB6" w:rsidP="00E11B44">
      <w:pPr>
        <w:rPr>
          <w:sz w:val="20"/>
          <w:szCs w:val="20"/>
        </w:rPr>
      </w:pPr>
      <w:r w:rsidRPr="007575A5">
        <w:rPr>
          <w:sz w:val="20"/>
          <w:szCs w:val="20"/>
        </w:rPr>
        <w:t>C=70=80%</w:t>
      </w:r>
      <w:r w:rsidR="005D57F9" w:rsidRPr="007575A5">
        <w:rPr>
          <w:sz w:val="20"/>
          <w:szCs w:val="20"/>
        </w:rPr>
        <w:t xml:space="preserve"> </w:t>
      </w:r>
    </w:p>
    <w:p w:rsidR="005D57F9" w:rsidRPr="007575A5" w:rsidRDefault="005C1AB6" w:rsidP="00E11B44">
      <w:pPr>
        <w:rPr>
          <w:sz w:val="20"/>
          <w:szCs w:val="20"/>
        </w:rPr>
      </w:pPr>
      <w:r w:rsidRPr="007575A5">
        <w:rPr>
          <w:sz w:val="20"/>
          <w:szCs w:val="20"/>
        </w:rPr>
        <w:t>------------------------------------------------------------------------------------------------------------------------------------------</w:t>
      </w:r>
    </w:p>
    <w:p w:rsidR="005C1AB6" w:rsidRPr="007575A5" w:rsidRDefault="005C1AB6" w:rsidP="00E11B44">
      <w:pPr>
        <w:rPr>
          <w:b/>
          <w:sz w:val="20"/>
          <w:szCs w:val="20"/>
        </w:rPr>
      </w:pPr>
    </w:p>
    <w:p w:rsidR="00E11B44" w:rsidRPr="007575A5" w:rsidRDefault="00E11B44" w:rsidP="00E11B44">
      <w:pPr>
        <w:rPr>
          <w:b/>
          <w:sz w:val="20"/>
          <w:szCs w:val="20"/>
        </w:rPr>
      </w:pPr>
      <w:r w:rsidRPr="007575A5">
        <w:rPr>
          <w:b/>
          <w:sz w:val="20"/>
          <w:szCs w:val="20"/>
        </w:rPr>
        <w:t>Other recommended reading</w:t>
      </w:r>
    </w:p>
    <w:p w:rsidR="00E11B44" w:rsidRPr="007575A5" w:rsidRDefault="00E11B44" w:rsidP="00E11B44">
      <w:pPr>
        <w:rPr>
          <w:sz w:val="20"/>
          <w:szCs w:val="20"/>
        </w:rPr>
      </w:pPr>
      <w:proofErr w:type="spellStart"/>
      <w:r w:rsidRPr="007575A5">
        <w:rPr>
          <w:sz w:val="20"/>
          <w:szCs w:val="20"/>
        </w:rPr>
        <w:t>Abes</w:t>
      </w:r>
      <w:proofErr w:type="spellEnd"/>
      <w:r w:rsidRPr="007575A5">
        <w:rPr>
          <w:sz w:val="20"/>
          <w:szCs w:val="20"/>
        </w:rPr>
        <w:t xml:space="preserve">, E. S., Jones, S. R., &amp; McEwen, M. K. (2007). </w:t>
      </w:r>
      <w:proofErr w:type="spellStart"/>
      <w:r w:rsidRPr="007575A5">
        <w:rPr>
          <w:sz w:val="20"/>
          <w:szCs w:val="20"/>
        </w:rPr>
        <w:t>Reconceptualizing</w:t>
      </w:r>
      <w:proofErr w:type="spellEnd"/>
      <w:r w:rsidRPr="007575A5">
        <w:rPr>
          <w:sz w:val="20"/>
          <w:szCs w:val="20"/>
        </w:rPr>
        <w:t xml:space="preserve"> the model of multiple </w:t>
      </w:r>
    </w:p>
    <w:p w:rsidR="00E11B44" w:rsidRPr="007575A5" w:rsidRDefault="00E11B44" w:rsidP="00E11B44">
      <w:pPr>
        <w:rPr>
          <w:sz w:val="20"/>
          <w:szCs w:val="20"/>
        </w:rPr>
      </w:pPr>
      <w:proofErr w:type="gramStart"/>
      <w:r w:rsidRPr="007575A5">
        <w:rPr>
          <w:sz w:val="20"/>
          <w:szCs w:val="20"/>
        </w:rPr>
        <w:t>dimensions</w:t>
      </w:r>
      <w:proofErr w:type="gramEnd"/>
      <w:r w:rsidRPr="007575A5">
        <w:rPr>
          <w:sz w:val="20"/>
          <w:szCs w:val="20"/>
        </w:rPr>
        <w:t xml:space="preserve"> of identity: The role of meaning-making capacity in the construction of </w:t>
      </w:r>
    </w:p>
    <w:p w:rsidR="00E11B44" w:rsidRPr="007575A5" w:rsidRDefault="00E11B44" w:rsidP="00E11B44">
      <w:pPr>
        <w:rPr>
          <w:sz w:val="20"/>
          <w:szCs w:val="20"/>
        </w:rPr>
      </w:pPr>
      <w:proofErr w:type="gramStart"/>
      <w:r w:rsidRPr="007575A5">
        <w:rPr>
          <w:sz w:val="20"/>
          <w:szCs w:val="20"/>
        </w:rPr>
        <w:t>multiple</w:t>
      </w:r>
      <w:proofErr w:type="gramEnd"/>
      <w:r w:rsidRPr="007575A5">
        <w:rPr>
          <w:sz w:val="20"/>
          <w:szCs w:val="20"/>
        </w:rPr>
        <w:t xml:space="preserve"> identities. Journal of College Student Development, 48, 1-22. </w:t>
      </w:r>
    </w:p>
    <w:p w:rsidR="00E11B44" w:rsidRPr="007575A5" w:rsidRDefault="00E11B44" w:rsidP="00E11B44">
      <w:pPr>
        <w:rPr>
          <w:sz w:val="20"/>
          <w:szCs w:val="20"/>
        </w:rPr>
      </w:pPr>
      <w:r w:rsidRPr="007575A5">
        <w:rPr>
          <w:sz w:val="20"/>
          <w:szCs w:val="20"/>
        </w:rPr>
        <w:t xml:space="preserve">Banks, J. (Ed.) (2007). Diversity and Citizenship Education: Global Perspectives. San </w:t>
      </w:r>
    </w:p>
    <w:p w:rsidR="00E11B44" w:rsidRPr="007575A5" w:rsidRDefault="00E11B44" w:rsidP="00E11B44">
      <w:pPr>
        <w:rPr>
          <w:sz w:val="20"/>
          <w:szCs w:val="20"/>
        </w:rPr>
      </w:pPr>
      <w:r w:rsidRPr="007575A5">
        <w:rPr>
          <w:sz w:val="20"/>
          <w:szCs w:val="20"/>
        </w:rPr>
        <w:t xml:space="preserve">Francisco: </w:t>
      </w:r>
      <w:proofErr w:type="spellStart"/>
      <w:r w:rsidRPr="007575A5">
        <w:rPr>
          <w:sz w:val="20"/>
          <w:szCs w:val="20"/>
        </w:rPr>
        <w:t>Jossey</w:t>
      </w:r>
      <w:proofErr w:type="spellEnd"/>
      <w:r w:rsidRPr="007575A5">
        <w:rPr>
          <w:sz w:val="20"/>
          <w:szCs w:val="20"/>
        </w:rPr>
        <w:t xml:space="preserve"> Bass. </w:t>
      </w:r>
    </w:p>
    <w:p w:rsidR="00E11B44" w:rsidRPr="007575A5" w:rsidRDefault="00E11B44" w:rsidP="00E11B44">
      <w:pPr>
        <w:rPr>
          <w:sz w:val="20"/>
          <w:szCs w:val="20"/>
        </w:rPr>
      </w:pPr>
      <w:r w:rsidRPr="007575A5">
        <w:rPr>
          <w:sz w:val="20"/>
          <w:szCs w:val="20"/>
        </w:rPr>
        <w:t xml:space="preserve">Baxter </w:t>
      </w:r>
      <w:proofErr w:type="spellStart"/>
      <w:r w:rsidRPr="007575A5">
        <w:rPr>
          <w:sz w:val="20"/>
          <w:szCs w:val="20"/>
        </w:rPr>
        <w:t>Magolda</w:t>
      </w:r>
      <w:proofErr w:type="spellEnd"/>
      <w:r w:rsidRPr="007575A5">
        <w:rPr>
          <w:sz w:val="20"/>
          <w:szCs w:val="20"/>
        </w:rPr>
        <w:t xml:space="preserve">, M. B., &amp; King, P. M. (Eds.). (2004). Learning partnerships: Theory and </w:t>
      </w:r>
    </w:p>
    <w:p w:rsidR="00E11B44" w:rsidRPr="007575A5" w:rsidRDefault="00E11B44" w:rsidP="00E11B44">
      <w:pPr>
        <w:rPr>
          <w:sz w:val="20"/>
          <w:szCs w:val="20"/>
        </w:rPr>
      </w:pPr>
      <w:proofErr w:type="gramStart"/>
      <w:r w:rsidRPr="007575A5">
        <w:rPr>
          <w:sz w:val="20"/>
          <w:szCs w:val="20"/>
        </w:rPr>
        <w:t>models</w:t>
      </w:r>
      <w:proofErr w:type="gramEnd"/>
      <w:r w:rsidRPr="007575A5">
        <w:rPr>
          <w:sz w:val="20"/>
          <w:szCs w:val="20"/>
        </w:rPr>
        <w:t xml:space="preserve"> of practice to educate self-authorship. Sterling, VA: Stylus Press. </w:t>
      </w:r>
    </w:p>
    <w:p w:rsidR="00E11B44" w:rsidRPr="007575A5" w:rsidRDefault="00E11B44" w:rsidP="00E11B44">
      <w:pPr>
        <w:rPr>
          <w:sz w:val="20"/>
          <w:szCs w:val="20"/>
        </w:rPr>
      </w:pPr>
      <w:r w:rsidRPr="007575A5">
        <w:rPr>
          <w:sz w:val="20"/>
          <w:szCs w:val="20"/>
        </w:rPr>
        <w:t xml:space="preserve">Bell, L.A. (1997). Theoretical foundations for social justice education. In M. Adams, L.A. Bell, </w:t>
      </w:r>
    </w:p>
    <w:p w:rsidR="00E11B44" w:rsidRPr="007575A5" w:rsidRDefault="00E11B44" w:rsidP="00E11B44">
      <w:pPr>
        <w:rPr>
          <w:sz w:val="20"/>
          <w:szCs w:val="20"/>
        </w:rPr>
      </w:pPr>
      <w:r w:rsidRPr="007575A5">
        <w:rPr>
          <w:sz w:val="20"/>
          <w:szCs w:val="20"/>
        </w:rPr>
        <w:t xml:space="preserve">&amp; P. Griffin (Eds.), Teaching for diversity and social justice: A sourcebook (pp. 1-15). </w:t>
      </w:r>
    </w:p>
    <w:p w:rsidR="00E11B44" w:rsidRPr="007575A5" w:rsidRDefault="00E11B44" w:rsidP="00E11B44">
      <w:pPr>
        <w:rPr>
          <w:sz w:val="20"/>
          <w:szCs w:val="20"/>
        </w:rPr>
      </w:pPr>
      <w:r w:rsidRPr="007575A5">
        <w:rPr>
          <w:sz w:val="20"/>
          <w:szCs w:val="20"/>
        </w:rPr>
        <w:t xml:space="preserve">New York: </w:t>
      </w:r>
      <w:proofErr w:type="spellStart"/>
      <w:r w:rsidRPr="007575A5">
        <w:rPr>
          <w:sz w:val="20"/>
          <w:szCs w:val="20"/>
        </w:rPr>
        <w:t>Routledge</w:t>
      </w:r>
      <w:proofErr w:type="spellEnd"/>
      <w:r w:rsidRPr="007575A5">
        <w:rPr>
          <w:sz w:val="20"/>
          <w:szCs w:val="20"/>
        </w:rPr>
        <w:t xml:space="preserve">. </w:t>
      </w:r>
    </w:p>
    <w:p w:rsidR="00E11B44" w:rsidRPr="007575A5" w:rsidRDefault="00E11B44" w:rsidP="00E11B44">
      <w:pPr>
        <w:rPr>
          <w:sz w:val="20"/>
          <w:szCs w:val="20"/>
        </w:rPr>
      </w:pPr>
      <w:r w:rsidRPr="007575A5">
        <w:rPr>
          <w:sz w:val="20"/>
          <w:szCs w:val="20"/>
        </w:rPr>
        <w:lastRenderedPageBreak/>
        <w:t>Bowe, F. G. (2000). Universal design in education—</w:t>
      </w:r>
      <w:proofErr w:type="gramStart"/>
      <w:r w:rsidRPr="007575A5">
        <w:rPr>
          <w:sz w:val="20"/>
          <w:szCs w:val="20"/>
        </w:rPr>
        <w:t>Teaching</w:t>
      </w:r>
      <w:proofErr w:type="gramEnd"/>
      <w:r w:rsidRPr="007575A5">
        <w:rPr>
          <w:sz w:val="20"/>
          <w:szCs w:val="20"/>
        </w:rPr>
        <w:t xml:space="preserve"> nontraditional students.</w:t>
      </w:r>
    </w:p>
    <w:p w:rsidR="00E11B44" w:rsidRPr="007575A5" w:rsidRDefault="00E11B44" w:rsidP="00E11B44">
      <w:pPr>
        <w:rPr>
          <w:sz w:val="20"/>
          <w:szCs w:val="20"/>
        </w:rPr>
      </w:pPr>
      <w:r w:rsidRPr="007575A5">
        <w:rPr>
          <w:sz w:val="20"/>
          <w:szCs w:val="20"/>
        </w:rPr>
        <w:t>Westport, CT: Bergin &amp; Garvey</w:t>
      </w:r>
    </w:p>
    <w:p w:rsidR="00E11B44" w:rsidRPr="007575A5" w:rsidRDefault="00E11B44" w:rsidP="00E11B44">
      <w:pPr>
        <w:rPr>
          <w:sz w:val="20"/>
          <w:szCs w:val="20"/>
        </w:rPr>
      </w:pPr>
      <w:r w:rsidRPr="007575A5">
        <w:rPr>
          <w:sz w:val="20"/>
          <w:szCs w:val="20"/>
        </w:rPr>
        <w:t xml:space="preserve">Garber, L. (Ed.) (1994). Tilting the tower. New York: </w:t>
      </w:r>
      <w:proofErr w:type="spellStart"/>
      <w:r w:rsidRPr="007575A5">
        <w:rPr>
          <w:sz w:val="20"/>
          <w:szCs w:val="20"/>
        </w:rPr>
        <w:t>Routledge</w:t>
      </w:r>
      <w:proofErr w:type="spellEnd"/>
      <w:r w:rsidRPr="007575A5">
        <w:rPr>
          <w:sz w:val="20"/>
          <w:szCs w:val="20"/>
        </w:rPr>
        <w:t xml:space="preserve">. </w:t>
      </w:r>
    </w:p>
    <w:p w:rsidR="00E11B44" w:rsidRPr="007575A5" w:rsidRDefault="00E11B44" w:rsidP="00E11B44">
      <w:pPr>
        <w:rPr>
          <w:sz w:val="20"/>
          <w:szCs w:val="20"/>
        </w:rPr>
      </w:pPr>
      <w:r w:rsidRPr="007575A5">
        <w:rPr>
          <w:sz w:val="20"/>
          <w:szCs w:val="20"/>
        </w:rPr>
        <w:t xml:space="preserve">Gay, G. (2000). Culturally responsive teaching: Theory, research, and practice. New </w:t>
      </w:r>
    </w:p>
    <w:p w:rsidR="00E11B44" w:rsidRPr="007575A5" w:rsidRDefault="00E11B44" w:rsidP="00E11B44">
      <w:pPr>
        <w:rPr>
          <w:sz w:val="20"/>
          <w:szCs w:val="20"/>
        </w:rPr>
      </w:pPr>
      <w:r w:rsidRPr="007575A5">
        <w:rPr>
          <w:sz w:val="20"/>
          <w:szCs w:val="20"/>
        </w:rPr>
        <w:t xml:space="preserve"> York: Teachers College Press. </w:t>
      </w:r>
    </w:p>
    <w:p w:rsidR="00E11B44" w:rsidRPr="007575A5" w:rsidRDefault="00E11B44" w:rsidP="00E11B44">
      <w:pPr>
        <w:rPr>
          <w:sz w:val="20"/>
          <w:szCs w:val="20"/>
        </w:rPr>
      </w:pPr>
      <w:r w:rsidRPr="007575A5">
        <w:rPr>
          <w:sz w:val="20"/>
          <w:szCs w:val="20"/>
        </w:rPr>
        <w:t xml:space="preserve">Grant, C. &amp; </w:t>
      </w:r>
      <w:proofErr w:type="spellStart"/>
      <w:r w:rsidRPr="007575A5">
        <w:rPr>
          <w:sz w:val="20"/>
          <w:szCs w:val="20"/>
        </w:rPr>
        <w:t>Sleeter</w:t>
      </w:r>
      <w:proofErr w:type="spellEnd"/>
      <w:r w:rsidRPr="007575A5">
        <w:rPr>
          <w:sz w:val="20"/>
          <w:szCs w:val="20"/>
        </w:rPr>
        <w:t xml:space="preserve">, C. (2006). Turning on learning: Five approaches for multicultural </w:t>
      </w:r>
    </w:p>
    <w:p w:rsidR="00E11B44" w:rsidRPr="007575A5" w:rsidRDefault="00E11B44" w:rsidP="00E11B44">
      <w:pPr>
        <w:rPr>
          <w:sz w:val="20"/>
          <w:szCs w:val="20"/>
        </w:rPr>
      </w:pPr>
      <w:proofErr w:type="gramStart"/>
      <w:r w:rsidRPr="007575A5">
        <w:rPr>
          <w:sz w:val="20"/>
          <w:szCs w:val="20"/>
        </w:rPr>
        <w:t>teaching</w:t>
      </w:r>
      <w:proofErr w:type="gramEnd"/>
      <w:r w:rsidRPr="007575A5">
        <w:rPr>
          <w:sz w:val="20"/>
          <w:szCs w:val="20"/>
        </w:rPr>
        <w:t xml:space="preserve"> plans for race, class, gender and disability (4th ed.). Indianapolis, IN: Wiley. </w:t>
      </w:r>
    </w:p>
    <w:p w:rsidR="00E11B44" w:rsidRPr="007575A5" w:rsidRDefault="00E11B44" w:rsidP="00E11B44">
      <w:pPr>
        <w:rPr>
          <w:sz w:val="20"/>
          <w:szCs w:val="20"/>
        </w:rPr>
      </w:pPr>
      <w:proofErr w:type="spellStart"/>
      <w:r w:rsidRPr="007575A5">
        <w:rPr>
          <w:sz w:val="20"/>
          <w:szCs w:val="20"/>
        </w:rPr>
        <w:t>Gurin</w:t>
      </w:r>
      <w:proofErr w:type="spellEnd"/>
      <w:r w:rsidRPr="007575A5">
        <w:rPr>
          <w:sz w:val="20"/>
          <w:szCs w:val="20"/>
        </w:rPr>
        <w:t xml:space="preserve">, P., </w:t>
      </w:r>
      <w:proofErr w:type="spellStart"/>
      <w:r w:rsidRPr="007575A5">
        <w:rPr>
          <w:sz w:val="20"/>
          <w:szCs w:val="20"/>
        </w:rPr>
        <w:t>Dey</w:t>
      </w:r>
      <w:proofErr w:type="spellEnd"/>
      <w:r w:rsidRPr="007575A5">
        <w:rPr>
          <w:sz w:val="20"/>
          <w:szCs w:val="20"/>
        </w:rPr>
        <w:t xml:space="preserve">, E. L., Hurtado, S., &amp; </w:t>
      </w:r>
      <w:proofErr w:type="spellStart"/>
      <w:r w:rsidRPr="007575A5">
        <w:rPr>
          <w:sz w:val="20"/>
          <w:szCs w:val="20"/>
        </w:rPr>
        <w:t>Gurin</w:t>
      </w:r>
      <w:proofErr w:type="spellEnd"/>
      <w:r w:rsidRPr="007575A5">
        <w:rPr>
          <w:sz w:val="20"/>
          <w:szCs w:val="20"/>
        </w:rPr>
        <w:t xml:space="preserve">, G. (2002). Diversity and higher education: </w:t>
      </w:r>
    </w:p>
    <w:p w:rsidR="00E11B44" w:rsidRPr="007575A5" w:rsidRDefault="00E11B44" w:rsidP="00E11B44">
      <w:pPr>
        <w:rPr>
          <w:sz w:val="20"/>
          <w:szCs w:val="20"/>
        </w:rPr>
      </w:pPr>
      <w:r w:rsidRPr="007575A5">
        <w:rPr>
          <w:sz w:val="20"/>
          <w:szCs w:val="20"/>
        </w:rPr>
        <w:t xml:space="preserve"> Theory and impact on student outcomes. Harvard Educational Review, 72(3), 330-366. </w:t>
      </w:r>
    </w:p>
    <w:p w:rsidR="00E11B44" w:rsidRPr="007575A5" w:rsidRDefault="00E11B44" w:rsidP="00E11B44">
      <w:pPr>
        <w:rPr>
          <w:sz w:val="20"/>
          <w:szCs w:val="20"/>
        </w:rPr>
      </w:pPr>
      <w:proofErr w:type="spellStart"/>
      <w:r w:rsidRPr="007575A5">
        <w:rPr>
          <w:sz w:val="20"/>
          <w:szCs w:val="20"/>
        </w:rPr>
        <w:t>Hardiman</w:t>
      </w:r>
      <w:proofErr w:type="spellEnd"/>
      <w:r w:rsidRPr="007575A5">
        <w:rPr>
          <w:sz w:val="20"/>
          <w:szCs w:val="20"/>
        </w:rPr>
        <w:t xml:space="preserve">, R., &amp; Jackson, B. W. (1997). Conceptual foundations for social justice courses. In </w:t>
      </w:r>
    </w:p>
    <w:p w:rsidR="00E11B44" w:rsidRPr="007575A5" w:rsidRDefault="00E11B44" w:rsidP="00E11B44">
      <w:pPr>
        <w:rPr>
          <w:sz w:val="20"/>
          <w:szCs w:val="20"/>
        </w:rPr>
      </w:pPr>
      <w:r w:rsidRPr="007575A5">
        <w:rPr>
          <w:sz w:val="20"/>
          <w:szCs w:val="20"/>
        </w:rPr>
        <w:t xml:space="preserve">M. Adams, L.A. Bell, &amp; P. Griffin (Eds.), </w:t>
      </w:r>
      <w:proofErr w:type="gramStart"/>
      <w:r w:rsidRPr="007575A5">
        <w:rPr>
          <w:sz w:val="20"/>
          <w:szCs w:val="20"/>
        </w:rPr>
        <w:t>Teaching</w:t>
      </w:r>
      <w:proofErr w:type="gramEnd"/>
      <w:r w:rsidRPr="007575A5">
        <w:rPr>
          <w:sz w:val="20"/>
          <w:szCs w:val="20"/>
        </w:rPr>
        <w:t xml:space="preserve"> for diversity and social justice: A </w:t>
      </w:r>
    </w:p>
    <w:p w:rsidR="00E11B44" w:rsidRPr="007575A5" w:rsidRDefault="00E11B44" w:rsidP="00E11B44">
      <w:pPr>
        <w:rPr>
          <w:sz w:val="20"/>
          <w:szCs w:val="20"/>
        </w:rPr>
      </w:pPr>
      <w:proofErr w:type="gramStart"/>
      <w:r w:rsidRPr="007575A5">
        <w:rPr>
          <w:sz w:val="20"/>
          <w:szCs w:val="20"/>
        </w:rPr>
        <w:t>sourcebook</w:t>
      </w:r>
      <w:proofErr w:type="gramEnd"/>
      <w:r w:rsidRPr="007575A5">
        <w:rPr>
          <w:sz w:val="20"/>
          <w:szCs w:val="20"/>
        </w:rPr>
        <w:t xml:space="preserve"> (pp. 16-29). New York: </w:t>
      </w:r>
      <w:proofErr w:type="spellStart"/>
      <w:r w:rsidRPr="007575A5">
        <w:rPr>
          <w:sz w:val="20"/>
          <w:szCs w:val="20"/>
        </w:rPr>
        <w:t>Routledge</w:t>
      </w:r>
      <w:proofErr w:type="spellEnd"/>
      <w:r w:rsidRPr="007575A5">
        <w:rPr>
          <w:sz w:val="20"/>
          <w:szCs w:val="20"/>
        </w:rPr>
        <w:t xml:space="preserve">. </w:t>
      </w:r>
    </w:p>
    <w:p w:rsidR="00E11B44" w:rsidRPr="007575A5" w:rsidRDefault="00E11B44" w:rsidP="00E11B44">
      <w:pPr>
        <w:rPr>
          <w:sz w:val="20"/>
          <w:szCs w:val="20"/>
        </w:rPr>
      </w:pPr>
      <w:proofErr w:type="spellStart"/>
      <w:r w:rsidRPr="007575A5">
        <w:rPr>
          <w:sz w:val="20"/>
          <w:szCs w:val="20"/>
        </w:rPr>
        <w:t>Higbee</w:t>
      </w:r>
      <w:proofErr w:type="spellEnd"/>
      <w:r w:rsidRPr="007575A5">
        <w:rPr>
          <w:sz w:val="20"/>
          <w:szCs w:val="20"/>
        </w:rPr>
        <w:t xml:space="preserve">, J. L., </w:t>
      </w:r>
      <w:proofErr w:type="spellStart"/>
      <w:r w:rsidRPr="007575A5">
        <w:rPr>
          <w:sz w:val="20"/>
          <w:szCs w:val="20"/>
        </w:rPr>
        <w:t>Miksch</w:t>
      </w:r>
      <w:proofErr w:type="spellEnd"/>
      <w:r w:rsidRPr="007575A5">
        <w:rPr>
          <w:sz w:val="20"/>
          <w:szCs w:val="20"/>
        </w:rPr>
        <w:t xml:space="preserve">, K. L., Jiang, F., </w:t>
      </w:r>
      <w:proofErr w:type="spellStart"/>
      <w:r w:rsidRPr="007575A5">
        <w:rPr>
          <w:sz w:val="20"/>
          <w:szCs w:val="20"/>
        </w:rPr>
        <w:t>Jehangir</w:t>
      </w:r>
      <w:proofErr w:type="spellEnd"/>
      <w:r w:rsidRPr="007575A5">
        <w:rPr>
          <w:sz w:val="20"/>
          <w:szCs w:val="20"/>
        </w:rPr>
        <w:t xml:space="preserve">, R. R., </w:t>
      </w:r>
      <w:proofErr w:type="spellStart"/>
      <w:r w:rsidRPr="007575A5">
        <w:rPr>
          <w:sz w:val="20"/>
          <w:szCs w:val="20"/>
        </w:rPr>
        <w:t>Lundell</w:t>
      </w:r>
      <w:proofErr w:type="spellEnd"/>
      <w:r w:rsidRPr="007575A5">
        <w:rPr>
          <w:sz w:val="20"/>
          <w:szCs w:val="20"/>
        </w:rPr>
        <w:t xml:space="preserve">, D. B., &amp; Bruch, P. L. </w:t>
      </w:r>
    </w:p>
    <w:p w:rsidR="00E11B44" w:rsidRPr="007575A5" w:rsidRDefault="00E11B44" w:rsidP="00E11B44">
      <w:pPr>
        <w:rPr>
          <w:sz w:val="20"/>
          <w:szCs w:val="20"/>
        </w:rPr>
      </w:pPr>
      <w:r w:rsidRPr="007575A5">
        <w:rPr>
          <w:sz w:val="20"/>
          <w:szCs w:val="20"/>
        </w:rPr>
        <w:t xml:space="preserve"> (2004). Assessing our commitment to providing a multicultural learning experience. </w:t>
      </w:r>
    </w:p>
    <w:p w:rsidR="00E11B44" w:rsidRPr="007575A5" w:rsidRDefault="00E11B44" w:rsidP="00E11B44">
      <w:pPr>
        <w:rPr>
          <w:sz w:val="20"/>
          <w:szCs w:val="20"/>
        </w:rPr>
      </w:pPr>
      <w:r w:rsidRPr="007575A5">
        <w:rPr>
          <w:sz w:val="20"/>
          <w:szCs w:val="20"/>
        </w:rPr>
        <w:t>Journal of College Reading and Learning, 34 (2), 61-74</w:t>
      </w:r>
    </w:p>
    <w:p w:rsidR="00E11B44" w:rsidRPr="007575A5" w:rsidRDefault="00E11B44" w:rsidP="00E11B44">
      <w:pPr>
        <w:rPr>
          <w:sz w:val="20"/>
          <w:szCs w:val="20"/>
        </w:rPr>
      </w:pPr>
      <w:r w:rsidRPr="007575A5">
        <w:rPr>
          <w:sz w:val="20"/>
          <w:szCs w:val="20"/>
        </w:rPr>
        <w:t xml:space="preserve">Mitchell, W.S. (2005). Achieving diversity: Moving from rhetoric to action. Black Issues in </w:t>
      </w:r>
    </w:p>
    <w:p w:rsidR="00E11B44" w:rsidRPr="007575A5" w:rsidRDefault="00E11B44" w:rsidP="00E11B44">
      <w:pPr>
        <w:rPr>
          <w:sz w:val="20"/>
          <w:szCs w:val="20"/>
        </w:rPr>
      </w:pPr>
      <w:r w:rsidRPr="007575A5">
        <w:rPr>
          <w:sz w:val="20"/>
          <w:szCs w:val="20"/>
        </w:rPr>
        <w:t xml:space="preserve">Higher Education, 22, 90-91. </w:t>
      </w:r>
    </w:p>
    <w:p w:rsidR="00E11B44" w:rsidRPr="007575A5" w:rsidRDefault="00E11B44" w:rsidP="00E11B44">
      <w:pPr>
        <w:rPr>
          <w:sz w:val="20"/>
          <w:szCs w:val="20"/>
        </w:rPr>
      </w:pPr>
      <w:r w:rsidRPr="007575A5">
        <w:rPr>
          <w:sz w:val="20"/>
          <w:szCs w:val="20"/>
        </w:rPr>
        <w:t>Newman, S. (1999). Constructing and critiquing reflective practice. Educational Action</w:t>
      </w:r>
    </w:p>
    <w:p w:rsidR="00E11B44" w:rsidRPr="007575A5" w:rsidRDefault="00E11B44" w:rsidP="00E11B44">
      <w:pPr>
        <w:rPr>
          <w:sz w:val="20"/>
          <w:szCs w:val="20"/>
        </w:rPr>
      </w:pPr>
      <w:r w:rsidRPr="007575A5">
        <w:rPr>
          <w:sz w:val="20"/>
          <w:szCs w:val="20"/>
        </w:rPr>
        <w:t xml:space="preserve">Research Journal, 7(1), 145-161. </w:t>
      </w:r>
    </w:p>
    <w:p w:rsidR="00E11B44" w:rsidRPr="007575A5" w:rsidRDefault="00E11B44" w:rsidP="00E11B44">
      <w:pPr>
        <w:rPr>
          <w:sz w:val="20"/>
          <w:szCs w:val="20"/>
        </w:rPr>
      </w:pPr>
      <w:r w:rsidRPr="007575A5">
        <w:rPr>
          <w:sz w:val="20"/>
          <w:szCs w:val="20"/>
        </w:rPr>
        <w:t>Platt, A.M. (1993). Beyond the cannon, with great difficulty. Social Justice, 20, 72-82.</w:t>
      </w:r>
    </w:p>
    <w:p w:rsidR="00E11B44" w:rsidRPr="007575A5" w:rsidRDefault="00E11B44" w:rsidP="00E11B44">
      <w:pPr>
        <w:rPr>
          <w:sz w:val="20"/>
          <w:szCs w:val="20"/>
        </w:rPr>
      </w:pPr>
    </w:p>
    <w:p w:rsidR="00E11B44" w:rsidRPr="007575A5" w:rsidRDefault="00E11B44" w:rsidP="00E11B44">
      <w:pPr>
        <w:rPr>
          <w:sz w:val="20"/>
          <w:szCs w:val="20"/>
        </w:rPr>
      </w:pPr>
    </w:p>
    <w:p w:rsidR="00F53944" w:rsidRDefault="00E01930">
      <w:pPr>
        <w:rPr>
          <w:sz w:val="20"/>
          <w:szCs w:val="20"/>
        </w:rPr>
      </w:pPr>
    </w:p>
    <w:p w:rsidR="00B4688B" w:rsidRDefault="00B4688B">
      <w:pPr>
        <w:rPr>
          <w:sz w:val="20"/>
          <w:szCs w:val="20"/>
        </w:rPr>
      </w:pPr>
    </w:p>
    <w:p w:rsidR="00B4688B" w:rsidRDefault="00B4688B">
      <w:pPr>
        <w:rPr>
          <w:sz w:val="20"/>
          <w:szCs w:val="20"/>
        </w:rPr>
      </w:pPr>
    </w:p>
    <w:p w:rsidR="00B4688B" w:rsidRDefault="00B4688B">
      <w:pPr>
        <w:rPr>
          <w:sz w:val="20"/>
          <w:szCs w:val="20"/>
        </w:rPr>
      </w:pPr>
    </w:p>
    <w:p w:rsidR="00B4688B" w:rsidRDefault="00B4688B">
      <w:pPr>
        <w:rPr>
          <w:sz w:val="20"/>
          <w:szCs w:val="20"/>
        </w:rPr>
      </w:pPr>
    </w:p>
    <w:p w:rsidR="00B4688B" w:rsidRDefault="00B4688B">
      <w:pPr>
        <w:rPr>
          <w:sz w:val="20"/>
          <w:szCs w:val="20"/>
        </w:rPr>
      </w:pPr>
    </w:p>
    <w:p w:rsidR="00B4688B" w:rsidRDefault="00B4688B">
      <w:pPr>
        <w:rPr>
          <w:sz w:val="20"/>
          <w:szCs w:val="20"/>
        </w:rPr>
      </w:pPr>
    </w:p>
    <w:p w:rsidR="00B4688B" w:rsidRPr="007575A5" w:rsidRDefault="00B4688B">
      <w:pPr>
        <w:rPr>
          <w:sz w:val="20"/>
          <w:szCs w:val="20"/>
        </w:rPr>
      </w:pPr>
    </w:p>
    <w:sectPr w:rsidR="00B4688B" w:rsidRPr="00757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43B8F"/>
    <w:multiLevelType w:val="hybridMultilevel"/>
    <w:tmpl w:val="47C2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C822505"/>
    <w:multiLevelType w:val="hybridMultilevel"/>
    <w:tmpl w:val="4E08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44"/>
    <w:rsid w:val="00124F1F"/>
    <w:rsid w:val="004726E6"/>
    <w:rsid w:val="005C1AB6"/>
    <w:rsid w:val="005D57F9"/>
    <w:rsid w:val="00667409"/>
    <w:rsid w:val="007575A5"/>
    <w:rsid w:val="00B4688B"/>
    <w:rsid w:val="00C92F8D"/>
    <w:rsid w:val="00E01930"/>
    <w:rsid w:val="00E11B44"/>
    <w:rsid w:val="00F1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9D090-334B-48CB-B51E-74C49DAF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dc:creator>
  <cp:lastModifiedBy>Cameron Jestice</cp:lastModifiedBy>
  <cp:revision>2</cp:revision>
  <dcterms:created xsi:type="dcterms:W3CDTF">2014-01-10T19:49:00Z</dcterms:created>
  <dcterms:modified xsi:type="dcterms:W3CDTF">2014-01-10T19:49:00Z</dcterms:modified>
</cp:coreProperties>
</file>